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635" w:rsidRDefault="002F597A" w:rsidP="000E42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76.25pt;height:673.5pt">
            <v:imagedata r:id="rId6" o:title=""/>
          </v:shape>
        </w:pict>
      </w:r>
    </w:p>
    <w:p w:rsidR="002C0635" w:rsidRDefault="002C0635" w:rsidP="000E42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35" w:rsidRPr="000E426F" w:rsidRDefault="002C0635" w:rsidP="004764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 xml:space="preserve">ПП.00 Производственная практика (по профилю специальности) ПП.02 </w:t>
      </w:r>
      <w:r w:rsidRPr="000E426F">
        <w:rPr>
          <w:rFonts w:ascii="Times New Roman" w:hAnsi="Times New Roman" w:cs="Times New Roman"/>
          <w:sz w:val="28"/>
          <w:szCs w:val="28"/>
        </w:rPr>
        <w:lastRenderedPageBreak/>
        <w:t>Педагогическая практика</w:t>
      </w:r>
      <w:r w:rsidRPr="000E426F">
        <w:rPr>
          <w:rFonts w:ascii="Times New Roman" w:hAnsi="Times New Roman" w:cs="Times New Roman"/>
          <w:spacing w:val="-20"/>
          <w:sz w:val="28"/>
          <w:szCs w:val="28"/>
        </w:rPr>
        <w:t xml:space="preserve"> 54.02.02 «Декоративно-прикладное искусство и народные промыслы»</w:t>
      </w:r>
      <w:r w:rsidRPr="000E426F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(по видам) – «Художественная роспись ткани»</w:t>
      </w:r>
      <w:r w:rsidRPr="000E426F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0E426F">
        <w:rPr>
          <w:rFonts w:ascii="Times New Roman" w:hAnsi="Times New Roman" w:cs="Times New Roman"/>
          <w:sz w:val="28"/>
          <w:szCs w:val="28"/>
        </w:rPr>
        <w:t>проводится на 4 курсе, 8 семестре и является обязательным разделом ОПОП. Она представляет собой вид учебных занятий, обеспечивающих практико-ориентированную подготовку учащихся. Этот вид практики проводится в конце 4 года обучения. Объём курса практики составляет 36 часов.</w:t>
      </w:r>
    </w:p>
    <w:p w:rsidR="002C0635" w:rsidRPr="00834DF7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Художник-мастер, преподаватель готовится к следующим видам деятельности:</w:t>
      </w:r>
    </w:p>
    <w:p w:rsidR="002C0635" w:rsidRPr="00834DF7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назначения).</w:t>
      </w:r>
    </w:p>
    <w:p w:rsidR="002C0635" w:rsidRPr="00834DF7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>Производственно-технологическая деятельность (изготовление бытовых предметов прикладного характера на традиционных художественных производствах, в организациях малого и среднего бизнеса).</w:t>
      </w:r>
    </w:p>
    <w:p w:rsidR="002C0635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834DF7">
        <w:rPr>
          <w:rFonts w:ascii="Times New Roman" w:hAnsi="Times New Roman" w:cs="Times New Roman"/>
          <w:color w:val="222222"/>
          <w:sz w:val="28"/>
          <w:szCs w:val="28"/>
        </w:rPr>
        <w:t xml:space="preserve"> Педагогическая деятельность (учебно-методическое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организациях).</w:t>
      </w:r>
    </w:p>
    <w:p w:rsidR="002C0635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</w:rPr>
        <w:t>Художник-мастер, преподаватель</w:t>
      </w:r>
      <w:r w:rsidRPr="00C01E16">
        <w:rPr>
          <w:rFonts w:ascii="Times New Roman" w:hAnsi="Times New Roman" w:cs="Times New Roman"/>
          <w:color w:val="222222"/>
          <w:sz w:val="28"/>
          <w:szCs w:val="28"/>
        </w:rPr>
        <w:t xml:space="preserve"> должен обладать общими компетенциями, включающими в себя способность: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2C0635" w:rsidRPr="00834DF7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>Творческая и исполнительская деятельность.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1.2. 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1.3. Собирать, анализировать и систематизировать подготовительный материал при проектировании изделий декоративно-прикладного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1.4. Воплощать в материале самостоятельно разработанный проект изделия декоративно-прикладного искусства (по видам).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1.5. Выполнять эскизы и проекты с использованием различных графических средств и приемов.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1.6. 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1.7. Владеть культурой устной и письменной речи, профессиональной терминологией.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Производственно-технологическая деятельность.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2.1. Копировать бытовые изделия традиционного прикладного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2.2. 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2.3. Составлять технологические карты исполнения изделий декоративно-прикладного и народного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2.4. Использовать компьютерные технологии при реализации замысла в изготовлении изделия традиционно-прикладного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2.5. Планировать работу коллектива исполнителей и собственную деятельность.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2.6. Контролировать изготовление изделий на предмет соответствия требованиям, предъявляемым к изделиям декоративно-прикладного и народного искусства.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2.7. Обеспечивать и соблюдать правила и нормы безопасности в профессиональной деятельности.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Педагогическая деятельность.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3.3. Использовать базовые знания и практический опыт по организации и анализу образовательного процесса, методике подготовки и проведения урока.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lastRenderedPageBreak/>
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3.5. Планировать развитие профессиональных умений обучающихся.</w:t>
      </w:r>
    </w:p>
    <w:p w:rsidR="002C0635" w:rsidRPr="00C01E16" w:rsidRDefault="002C0635" w:rsidP="00D076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01E16">
        <w:rPr>
          <w:rFonts w:ascii="Times New Roman" w:hAnsi="Times New Roman" w:cs="Times New Roman"/>
          <w:color w:val="222222"/>
          <w:sz w:val="28"/>
          <w:szCs w:val="28"/>
        </w:rPr>
        <w:t>ПК 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2C0635" w:rsidRDefault="002C0635" w:rsidP="000E426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35" w:rsidRPr="000E426F" w:rsidRDefault="002C0635" w:rsidP="00343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Производственная практика (педагогическая) проводится в форме наблюдательной практики. Базами производственной практики (</w:t>
      </w:r>
      <w:proofErr w:type="gramStart"/>
      <w:r w:rsidRPr="000E426F">
        <w:rPr>
          <w:rFonts w:ascii="Times New Roman" w:hAnsi="Times New Roman" w:cs="Times New Roman"/>
          <w:sz w:val="28"/>
          <w:szCs w:val="28"/>
        </w:rPr>
        <w:t>педагогической)  должны</w:t>
      </w:r>
      <w:proofErr w:type="gramEnd"/>
      <w:r w:rsidRPr="000E426F">
        <w:rPr>
          <w:rFonts w:ascii="Times New Roman" w:hAnsi="Times New Roman" w:cs="Times New Roman"/>
          <w:sz w:val="28"/>
          <w:szCs w:val="28"/>
        </w:rPr>
        <w:t xml:space="preserve"> быть детские школы искусств и детские художественные школы, другие образовательные учреждения дополнительного образования, учреждения общего образования. </w:t>
      </w:r>
    </w:p>
    <w:p w:rsidR="002C0635" w:rsidRPr="000E426F" w:rsidRDefault="002C0635" w:rsidP="003435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Производственная практика (по профилю специальности) Педагогическая проводится в образовательной школе, в детской художественной школе. Продолжительность педагогической практики -1 неделя.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 xml:space="preserve">Этот вид практики направлен на расширение круга навыков и умений, углубление знаний, полученных в результате изучения МДК 0.2.01 «Технология исполнения изделий декоративно-прикладного искусства» и МДК 01.01 «Художественное проектирование изделий декоративно-прикладного и народного искусства» в рамках профессиональных модулей углубленной подготовки. </w:t>
      </w:r>
    </w:p>
    <w:p w:rsidR="002C0635" w:rsidRPr="000E426F" w:rsidRDefault="002C0635" w:rsidP="0034352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Педагогическая практика</w:t>
      </w:r>
      <w:r w:rsidRPr="000E426F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0E426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имеет важное значение для повышения качества профессиональной </w:t>
      </w:r>
      <w:r w:rsidRPr="000E426F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подготовки будущего художника – мастера, преподавателя художественной росписи ткани,</w:t>
      </w:r>
      <w:r w:rsidRPr="000E426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так как в ходе ее углубляются и закрепляются знания, умения и навыки, приобре</w:t>
      </w:r>
      <w:r w:rsidRPr="000E426F">
        <w:rPr>
          <w:rFonts w:ascii="Times New Roman" w:hAnsi="Times New Roman" w:cs="Times New Roman"/>
          <w:color w:val="000000"/>
          <w:spacing w:val="-4"/>
          <w:sz w:val="28"/>
          <w:szCs w:val="28"/>
        </w:rPr>
        <w:t>тенные за все 4 года обучения.</w:t>
      </w:r>
    </w:p>
    <w:p w:rsidR="002C0635" w:rsidRPr="000E426F" w:rsidRDefault="002C0635" w:rsidP="0034352C">
      <w:pPr>
        <w:pStyle w:val="12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Цель и задачи курса практики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Цель практики</w:t>
      </w:r>
      <w:r w:rsidRPr="000E426F">
        <w:rPr>
          <w:rFonts w:ascii="Times New Roman" w:hAnsi="Times New Roman" w:cs="Times New Roman"/>
          <w:sz w:val="28"/>
          <w:szCs w:val="28"/>
        </w:rPr>
        <w:t>: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1.</w:t>
      </w:r>
      <w:r w:rsidRPr="000E426F">
        <w:rPr>
          <w:rFonts w:ascii="Times New Roman" w:hAnsi="Times New Roman" w:cs="Times New Roman"/>
          <w:sz w:val="28"/>
          <w:szCs w:val="28"/>
        </w:rPr>
        <w:tab/>
        <w:t xml:space="preserve">Развитие и закрепление практических умений и навыков исполнения вместе с детьми несложных изделий художественной росписи ткани, в техниках росписи, изученных в процессе обучения. 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2.</w:t>
      </w:r>
      <w:r w:rsidRPr="000E426F">
        <w:rPr>
          <w:rFonts w:ascii="Times New Roman" w:hAnsi="Times New Roman" w:cs="Times New Roman"/>
          <w:sz w:val="28"/>
          <w:szCs w:val="28"/>
        </w:rPr>
        <w:tab/>
        <w:t xml:space="preserve">Выработка умения применять на практических занятиях с детьми теоретических знаний в композиции, </w:t>
      </w:r>
      <w:proofErr w:type="spellStart"/>
      <w:r w:rsidRPr="000E426F"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  <w:r w:rsidRPr="000E426F">
        <w:rPr>
          <w:rFonts w:ascii="Times New Roman" w:hAnsi="Times New Roman" w:cs="Times New Roman"/>
          <w:sz w:val="28"/>
          <w:szCs w:val="28"/>
        </w:rPr>
        <w:t>, приобретённые в процессе изучения соответствующих теоретических дисциплин.</w:t>
      </w:r>
    </w:p>
    <w:p w:rsidR="002C0635" w:rsidRPr="000E426F" w:rsidRDefault="002C0635" w:rsidP="0034352C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практики: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1. Подготовить рабочий материал к проведению самостоятельных занятий.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2. Составить планы уроков по выбранным темам.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3.Организовать выставку работ учеников.</w:t>
      </w:r>
    </w:p>
    <w:p w:rsidR="002C0635" w:rsidRPr="000E426F" w:rsidRDefault="002C0635" w:rsidP="0034352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4. Заполнить дневник учёта практики.</w:t>
      </w:r>
    </w:p>
    <w:p w:rsidR="002C0635" w:rsidRPr="000E426F" w:rsidRDefault="002C0635" w:rsidP="0034352C">
      <w:pPr>
        <w:pStyle w:val="12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2. Объем курса практики, виды отчетности</w:t>
      </w:r>
    </w:p>
    <w:p w:rsidR="002C0635" w:rsidRPr="000E426F" w:rsidRDefault="002C0635" w:rsidP="0034352C">
      <w:pPr>
        <w:tabs>
          <w:tab w:val="num" w:pos="187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Специальность –54.02.02 «Декоративно – прикладное искусство и народные промыслы» (по видам) «Художественная роспись ткани».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 xml:space="preserve">Форма обучения – очная, 4курс ,8семестр, 1 неделя. 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Объём курса практики составляет 36 часов.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Форма и виды отчетности</w:t>
      </w:r>
      <w:r w:rsidRPr="000E426F">
        <w:rPr>
          <w:rFonts w:ascii="Times New Roman" w:hAnsi="Times New Roman" w:cs="Times New Roman"/>
          <w:sz w:val="28"/>
          <w:szCs w:val="28"/>
        </w:rPr>
        <w:t>: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Аттестация по итогам практики проводится с учетом (или на основании) результатов, подтверждённых документами соответствующих организаций и (или) отчётных выставок учебно-творческих работ.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1.Форма отчетности учащегося – дневник педагогической практики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2. Форма отчетности преподавателя – задание на Педагогическую практику</w:t>
      </w:r>
      <w:r w:rsidRPr="000E426F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0E426F">
        <w:rPr>
          <w:rFonts w:ascii="Times New Roman" w:hAnsi="Times New Roman" w:cs="Times New Roman"/>
          <w:sz w:val="28"/>
          <w:szCs w:val="28"/>
        </w:rPr>
        <w:t xml:space="preserve">и отчет руководителя практики. 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3. Содержание курса</w:t>
      </w:r>
    </w:p>
    <w:p w:rsidR="002C0635" w:rsidRPr="000E426F" w:rsidRDefault="002C0635" w:rsidP="0034352C">
      <w:pPr>
        <w:tabs>
          <w:tab w:val="num" w:pos="187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Тематический план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Специальность –54.02.02 «Декоративно – прикладное искусство и народные промыслы» (по видам) «Художественная роспись ткани»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4"/>
        <w:gridCol w:w="2478"/>
      </w:tblGrid>
      <w:tr w:rsidR="002C0635" w:rsidRPr="000E426F">
        <w:trPr>
          <w:trHeight w:val="1476"/>
        </w:trPr>
        <w:tc>
          <w:tcPr>
            <w:tcW w:w="7304" w:type="dxa"/>
            <w:vAlign w:val="center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практики</w:t>
            </w: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Макс. нагрузка учащегося</w:t>
            </w:r>
          </w:p>
        </w:tc>
      </w:tr>
      <w:tr w:rsidR="002C0635" w:rsidRPr="000E426F">
        <w:trPr>
          <w:trHeight w:val="761"/>
        </w:trPr>
        <w:tc>
          <w:tcPr>
            <w:tcW w:w="7304" w:type="dxa"/>
          </w:tcPr>
          <w:p w:rsidR="002C0635" w:rsidRPr="000E426F" w:rsidRDefault="002C0635" w:rsidP="0034352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1.Характеристика современных методов обучения изобразительному искусству. Анализ современных методик обучения рисованию.</w:t>
            </w: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c>
          <w:tcPr>
            <w:tcW w:w="7304" w:type="dxa"/>
          </w:tcPr>
          <w:p w:rsidR="002C0635" w:rsidRPr="000E426F" w:rsidRDefault="002C0635" w:rsidP="0034352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2.Виды уроков изобразительного искусства.</w:t>
            </w: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rPr>
          <w:trHeight w:val="1346"/>
        </w:trPr>
        <w:tc>
          <w:tcPr>
            <w:tcW w:w="7304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Виды наглядных пособий на уроках изобразительного искусства.</w:t>
            </w: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rPr>
          <w:trHeight w:val="216"/>
        </w:trPr>
        <w:tc>
          <w:tcPr>
            <w:tcW w:w="7304" w:type="dxa"/>
          </w:tcPr>
          <w:p w:rsidR="002C0635" w:rsidRPr="000E426F" w:rsidRDefault="002C0635" w:rsidP="003435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4. Виды и характер практических занятий. Натюрморт. Правила составления натюрморта. Наблюдение за этапами выполнения учебного натюрморта.</w:t>
            </w:r>
          </w:p>
          <w:p w:rsidR="002C0635" w:rsidRPr="000E426F" w:rsidRDefault="002C0635" w:rsidP="0034352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rPr>
          <w:trHeight w:val="315"/>
        </w:trPr>
        <w:tc>
          <w:tcPr>
            <w:tcW w:w="7304" w:type="dxa"/>
          </w:tcPr>
          <w:p w:rsidR="002C0635" w:rsidRPr="000E426F" w:rsidRDefault="002C0635" w:rsidP="0034352C">
            <w:pPr>
              <w:pStyle w:val="1"/>
              <w:spacing w:before="0" w:beforeAutospacing="0" w:after="0" w:afterAutospacing="0" w:line="36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0E426F">
              <w:rPr>
                <w:b w:val="0"/>
                <w:bCs w:val="0"/>
                <w:sz w:val="28"/>
                <w:szCs w:val="28"/>
              </w:rPr>
              <w:t>5. Наблюдение за выполнением учебно-творческого занятия (композиции)</w:t>
            </w: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rPr>
          <w:trHeight w:val="270"/>
        </w:trPr>
        <w:tc>
          <w:tcPr>
            <w:tcW w:w="7304" w:type="dxa"/>
          </w:tcPr>
          <w:p w:rsidR="002C0635" w:rsidRPr="000E426F" w:rsidRDefault="002C0635" w:rsidP="0034352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6.Организация выставки работ учеников.</w:t>
            </w:r>
          </w:p>
          <w:p w:rsidR="002C0635" w:rsidRPr="000E426F" w:rsidRDefault="002C0635" w:rsidP="0034352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Заполнение дневника учёта практики.</w:t>
            </w:r>
          </w:p>
          <w:p w:rsidR="002C0635" w:rsidRPr="000E426F" w:rsidRDefault="002C0635" w:rsidP="0034352C">
            <w:pPr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635" w:rsidRPr="000E426F">
        <w:trPr>
          <w:trHeight w:val="270"/>
        </w:trPr>
        <w:tc>
          <w:tcPr>
            <w:tcW w:w="7304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478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Содержание практики</w:t>
      </w: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1.Характеристика современных методов обучения изобразительному искусству. Анализ современных методик обучения рисованию.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Репродуктивный метод обучения. Практические работы репродуктивного характера отличаются тем, что в ходе их ученики применяют по образцу ранее или только что усвоенные знания. Репродуктивные упражнения особенно эффективно содействуют отработке практических умений и навыков, так как превращение умения в навык требует неоднократных действий по образцу.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Проблемный метод обучения. Применение проблемных методов на уроках изобразительного искусства наиболее эффективно для активизации деятельности по разрешению проблемных ситуаций, учебно-познавательной деятельности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 xml:space="preserve">Частично-поисковый метод обучения. На уроках изобразительного искусства на первом этапе учащиеся выполняют задания по технологическим картам с подробнейшим описанием операций и приемов работы. Затем составляют технологические карты с частично пропущенными данными или этапами. Это </w:t>
      </w:r>
      <w:r w:rsidRPr="000E426F">
        <w:rPr>
          <w:sz w:val="28"/>
          <w:szCs w:val="28"/>
        </w:rPr>
        <w:lastRenderedPageBreak/>
        <w:t>заставляет учащихся самостоятельно решать некоторые посильные для них задачи.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Так, в процессе частично-поисковой деятельности, учащиеся сначала получают представление об изделии, затем планируют последовательность работы и осуществляют технологические операции по реализации проектов в законченное изделие.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Исследовательский метод обучения. Исследовательский метод следует рассматривать как высшую ступень творческой деятельности учащихся, в процессе которой они находят решения новых для них задач. Исследовательский метод формирует у учащихся знания и умения, которые обладают высокой степенью переноса и могут применяться в новых трудовых ситуациях.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Использование этого метода приближает процесс обучения к научному поиску, где учащиеся знакомятся не только с новыми научными истинами, но и с методикой научного поиска.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Объяснительно-иллюстративный метод обучения. К объяснительно-иллюстративным, или информационно-рецептивным методам относятся рассказ, объяснение, работа с учебниками, демонстрация картин (словесные, наглядные, практические). Данный метод преподавания изобразительного искусства и художественного труда будет эффективным, если не использовать этот метод в единственном виде. При сочетании данного метода с другими, например, частично-поисковым, исследовательским, репродуктивным, проблемным, практическим учащиеся будут активно работать, у них будет развиваться и мышление, и внимание, и память.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 xml:space="preserve">Метод самостоятельной работы. Путем использования разнообразных видов самостоятельной работы у учеников необходимо вырабатывать: некоторые самые общие приемы ее рациональной организации, умение рационально планировать эту работу, четко ставить систему задач предстоящей работы, вычленять среди них главные, умело избирать способы наиболее быстрого и экономного решения поставленных задач, умелый и оперативный самоконтроль </w:t>
      </w:r>
      <w:r w:rsidRPr="000E426F">
        <w:rPr>
          <w:sz w:val="28"/>
          <w:szCs w:val="28"/>
        </w:rPr>
        <w:lastRenderedPageBreak/>
        <w:t>за выполнением задания, умение быстро вносить коррективы в самостоятельную работу, умение анализировать общие итоги работы, сравнивать эти результаты с намеченными в начале ее, выявлений причины отклонений и намечать пути их устранения в дальнейшей работе.</w:t>
      </w:r>
    </w:p>
    <w:p w:rsidR="002C0635" w:rsidRPr="000E426F" w:rsidRDefault="002C0635" w:rsidP="0034352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426F">
        <w:rPr>
          <w:sz w:val="28"/>
          <w:szCs w:val="28"/>
        </w:rPr>
        <w:t>На уроках изобразительного искусства и художественного труда для повышения эффективности процесса обучения, а также для реализации всех поставленных целей эти методы применяются практически постоянно в сочетании с другими, вышеперечисленными методами.</w:t>
      </w:r>
    </w:p>
    <w:p w:rsidR="002C0635" w:rsidRPr="000E426F" w:rsidRDefault="002C0635" w:rsidP="0019615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E426F">
        <w:rPr>
          <w:sz w:val="28"/>
          <w:szCs w:val="28"/>
        </w:rPr>
        <w:t>2.Виды уроков изобразительного искусства.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 xml:space="preserve">Знакомство с разделами </w:t>
      </w:r>
      <w:r w:rsidRPr="000E42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рабочей программы:</w:t>
      </w:r>
      <w:r w:rsidRPr="000E426F">
        <w:rPr>
          <w:rFonts w:ascii="Times New Roman" w:hAnsi="Times New Roman" w:cs="Times New Roman"/>
          <w:color w:val="000000"/>
          <w:sz w:val="28"/>
          <w:szCs w:val="28"/>
        </w:rPr>
        <w:t xml:space="preserve"> рисунок, живопись (рисование с натуры, рисование на темы</w:t>
      </w:r>
      <w:proofErr w:type="gramStart"/>
      <w:r w:rsidRPr="000E426F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E426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E426F">
        <w:rPr>
          <w:rFonts w:ascii="Times New Roman" w:hAnsi="Times New Roman" w:cs="Times New Roman"/>
          <w:color w:val="000000"/>
          <w:sz w:val="28"/>
          <w:szCs w:val="28"/>
        </w:rPr>
        <w:t xml:space="preserve"> декоративная</w:t>
      </w:r>
      <w:proofErr w:type="gramEnd"/>
      <w:r w:rsidRPr="000E426F">
        <w:rPr>
          <w:rFonts w:ascii="Times New Roman" w:hAnsi="Times New Roman" w:cs="Times New Roman"/>
          <w:color w:val="000000"/>
          <w:sz w:val="28"/>
          <w:szCs w:val="28"/>
        </w:rPr>
        <w:t xml:space="preserve"> работа, лепка, аппликация, восприятие произведений искусства. </w:t>
      </w: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3.Виды наглядных пособий на уроках изобразительного искусства.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Знакомство с видами учебной наглядности. Функции наглядности.</w:t>
      </w: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4.Виды и характер практических занятий. Натюрморт.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Виды натюрморта. Правила составления натюрморта. Этапы выполнения учебного натюрморта.</w:t>
      </w:r>
    </w:p>
    <w:p w:rsidR="002C0635" w:rsidRPr="000E426F" w:rsidRDefault="002C0635" w:rsidP="0019615E">
      <w:pPr>
        <w:pStyle w:val="1"/>
        <w:spacing w:before="0" w:beforeAutospacing="0" w:after="0" w:afterAutospacing="0" w:line="360" w:lineRule="auto"/>
        <w:ind w:firstLine="708"/>
        <w:rPr>
          <w:b w:val="0"/>
          <w:bCs w:val="0"/>
          <w:color w:val="000000"/>
          <w:sz w:val="28"/>
          <w:szCs w:val="28"/>
        </w:rPr>
      </w:pPr>
      <w:r w:rsidRPr="000E426F">
        <w:rPr>
          <w:b w:val="0"/>
          <w:bCs w:val="0"/>
          <w:sz w:val="28"/>
          <w:szCs w:val="28"/>
        </w:rPr>
        <w:t>5. Наблюдение за выполнением учебно-творческого занятия (композиции.)</w:t>
      </w:r>
      <w:r w:rsidRPr="000E426F">
        <w:rPr>
          <w:sz w:val="28"/>
          <w:szCs w:val="28"/>
        </w:rPr>
        <w:t xml:space="preserve"> </w:t>
      </w:r>
      <w:r w:rsidRPr="000E426F">
        <w:rPr>
          <w:b w:val="0"/>
          <w:bCs w:val="0"/>
          <w:sz w:val="28"/>
          <w:szCs w:val="28"/>
        </w:rPr>
        <w:t>Этапы работы над композицией.</w:t>
      </w:r>
      <w:r w:rsidRPr="000E426F">
        <w:rPr>
          <w:b w:val="0"/>
          <w:bCs w:val="0"/>
          <w:color w:val="000000"/>
          <w:sz w:val="28"/>
          <w:szCs w:val="28"/>
        </w:rPr>
        <w:t xml:space="preserve"> </w:t>
      </w:r>
      <w:r w:rsidRPr="000E426F">
        <w:rPr>
          <w:rStyle w:val="a9"/>
          <w:color w:val="000000"/>
          <w:sz w:val="28"/>
          <w:szCs w:val="28"/>
        </w:rPr>
        <w:t>Материалы и принадлежности для рисования</w:t>
      </w:r>
    </w:p>
    <w:p w:rsidR="002C0635" w:rsidRPr="000E426F" w:rsidRDefault="002C0635" w:rsidP="0019615E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6.Организация выставки работ учеников. Заполнение дневника учёта практики.</w:t>
      </w: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4.Требования к формам и содержанию итогового контроля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В области педагогических основ преподавания творческих дисциплин, учебно-методического обеспечения учебного процесса учащийся должен продемонстрировать: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умение: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включать теоретические знания из области психологии и педагогики в практическую преподавательскую деятельность; применять различные формы организации учебной деятельности;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lastRenderedPageBreak/>
        <w:t>формировать межличностные отношения и внутригрупповые взаимодействия в профессиональной деятельности;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пользоваться специальной литературой;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применять учебно-методические материалы по обучению исполнительскому мастерству;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разрабатывать учебные образцы по конкретным видам декоративно-прикладного искусства;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делать педагогический анализ ситуации на занятии;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 xml:space="preserve">знание: </w:t>
      </w:r>
    </w:p>
    <w:p w:rsidR="002C0635" w:rsidRPr="000E426F" w:rsidRDefault="002C0635" w:rsidP="003435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основ теории воспитания и образования;</w:t>
      </w:r>
    </w:p>
    <w:p w:rsidR="002C0635" w:rsidRPr="000E426F" w:rsidRDefault="002C0635" w:rsidP="003435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психолого-педагогических особенностей работы с детьми дошкольного и школьного возраста;</w:t>
      </w:r>
    </w:p>
    <w:p w:rsidR="002C0635" w:rsidRPr="000E426F" w:rsidRDefault="002C0635" w:rsidP="003435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требований к личности педагога;</w:t>
      </w:r>
    </w:p>
    <w:p w:rsidR="002C0635" w:rsidRPr="000E426F" w:rsidRDefault="002C0635" w:rsidP="003435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основных исторических этапов развития художественного образования в России и за рубежом;</w:t>
      </w:r>
    </w:p>
    <w:p w:rsidR="002C0635" w:rsidRPr="000E426F" w:rsidRDefault="002C0635" w:rsidP="003435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современных методик обучения рисованию; профессиональной терминологии.</w:t>
      </w: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5.Учебно-методическое обеспечение курса</w:t>
      </w:r>
    </w:p>
    <w:p w:rsidR="002C0635" w:rsidRPr="000E426F" w:rsidRDefault="002C0635" w:rsidP="001961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Обеспечение дисциплины учебными изданиями</w:t>
      </w:r>
    </w:p>
    <w:p w:rsidR="002C0635" w:rsidRPr="000E426F" w:rsidRDefault="002C0635" w:rsidP="00343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655"/>
        <w:gridCol w:w="1747"/>
        <w:gridCol w:w="1843"/>
      </w:tblGrid>
      <w:tr w:rsidR="002C0635" w:rsidRPr="000E426F">
        <w:trPr>
          <w:trHeight w:val="1583"/>
        </w:trPr>
        <w:tc>
          <w:tcPr>
            <w:tcW w:w="4219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издания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Вид занятий, в котором используется</w:t>
            </w:r>
          </w:p>
        </w:tc>
        <w:tc>
          <w:tcPr>
            <w:tcW w:w="1747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26F">
              <w:rPr>
                <w:rFonts w:ascii="Times New Roman" w:hAnsi="Times New Roman" w:cs="Times New Roman"/>
                <w:sz w:val="24"/>
                <w:szCs w:val="24"/>
              </w:rPr>
              <w:t>Библиотека колледжа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1.Гулевич –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О.В.,Терентьева</w:t>
            </w:r>
            <w:proofErr w:type="spellEnd"/>
            <w:proofErr w:type="gram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А.М. Практикум по основам теории декоративно – прикладного искусства /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О.В.Гулевич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А.М.Терентьева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; 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работа Новгород: гос. ун-т им. Ярослава 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 Мудрого. Великий Новгород, 2009.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2.Сурина. М.О., Сурин А.А. История образования и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цветодидактики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3.Орнамент стиля ар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деко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/ Сост. и авт. предисл.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proofErr w:type="gram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В. Шевчук, 2008. – 207с.: ил. – (Орнаменты).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4.Основы художественного ремесла: в 2 ч. Ч.1. Вышивка. Кружево.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роспись </w:t>
            </w:r>
            <w:proofErr w:type="gram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тканей….</w:t>
            </w:r>
            <w:proofErr w:type="gram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∕.Авт. коллектив: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В.А.Барадулин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Н.Т.Климова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Л.А.Кожевникова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и др.; Под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ред.В.А.Барадулина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О.В.Танкус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– 2 – е изд.,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дораб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– М.: Просвещение, 2007. – 238с.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5.Русские орнаменты ∕ Сост. и </w:t>
            </w:r>
            <w:proofErr w:type="spellStart"/>
            <w:proofErr w:type="gram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авт.предис</w:t>
            </w:r>
            <w:proofErr w:type="spellEnd"/>
            <w:proofErr w:type="gram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В.Шевчук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2008 – 223с.: ил. – (Орнаменты).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0635" w:rsidRPr="000E426F">
        <w:trPr>
          <w:trHeight w:val="360"/>
        </w:trPr>
        <w:tc>
          <w:tcPr>
            <w:tcW w:w="4219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Стилизация природных форм в декоративно – прикладном искусстве: учеб. метод. пособие для студентов спец. «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Изобраз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искусство» / авт. –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сост.Г.А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Поровская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; Новгород, гос. ун-т им. Ярослава Мудрого, 2010. – 23, [1]с.: ил.</w:t>
            </w:r>
          </w:p>
        </w:tc>
        <w:tc>
          <w:tcPr>
            <w:tcW w:w="1655" w:type="dxa"/>
          </w:tcPr>
          <w:p w:rsidR="002C0635" w:rsidRPr="000E426F" w:rsidRDefault="002C0635" w:rsidP="0034352C">
            <w:pPr>
              <w:tabs>
                <w:tab w:val="num" w:pos="-54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635" w:rsidRPr="000E426F" w:rsidRDefault="002C0635" w:rsidP="0019615E">
            <w:pPr>
              <w:tabs>
                <w:tab w:val="num" w:pos="-5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35" w:rsidRPr="000E426F" w:rsidRDefault="002C0635" w:rsidP="0019615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6. Материально-техническое обеспечение курса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Учебный кабинет для проведения занятий по изобразительному искусству.</w:t>
      </w:r>
    </w:p>
    <w:p w:rsidR="002C0635" w:rsidRPr="000E426F" w:rsidRDefault="002C0635" w:rsidP="0034352C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Кабинет изобразительного искусства должен быть оснащен средствами обучения для проведения следующих видов занятий: рисование с натуры, занятия декоративно-прикладным искусством, пластикой; проектирование и изготовление несложных макетов, беседы об искусстве.</w:t>
      </w:r>
    </w:p>
    <w:p w:rsidR="002C0635" w:rsidRPr="000E426F" w:rsidRDefault="002C0635" w:rsidP="0034352C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 xml:space="preserve">Номенклатура учебного оборудования должна соответствовать содержанию выбранной школой учебной программы и ориентироваться на действующий </w:t>
      </w:r>
      <w:r>
        <w:rPr>
          <w:color w:val="000000"/>
          <w:sz w:val="28"/>
          <w:szCs w:val="28"/>
        </w:rPr>
        <w:t>«</w:t>
      </w:r>
      <w:r w:rsidRPr="000E426F">
        <w:rPr>
          <w:color w:val="000000"/>
          <w:sz w:val="28"/>
          <w:szCs w:val="28"/>
        </w:rPr>
        <w:t>Перечень учебного оборудования по изобразительному искусству для общеобразовательных учреждений России</w:t>
      </w:r>
      <w:r>
        <w:rPr>
          <w:color w:val="000000"/>
          <w:sz w:val="28"/>
          <w:szCs w:val="28"/>
        </w:rPr>
        <w:t>»</w:t>
      </w:r>
      <w:r w:rsidRPr="000E426F">
        <w:rPr>
          <w:color w:val="000000"/>
          <w:sz w:val="28"/>
          <w:szCs w:val="28"/>
        </w:rPr>
        <w:t>, утвержденный приказом Министерства образования Российской Федерации.</w:t>
      </w:r>
    </w:p>
    <w:p w:rsidR="002C0635" w:rsidRPr="000E426F" w:rsidRDefault="002C0635" w:rsidP="0034352C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В кабинете должен быть достаточный комплект методической литературы для обучающихся, включающий методический журнал по предмету, программы обучения изобразительному искусству в данном учебном заведении, справочную литературу нормативного характера, образовательный стандарт по изобразительному искусству.</w:t>
      </w:r>
    </w:p>
    <w:p w:rsidR="002C0635" w:rsidRPr="000E426F" w:rsidRDefault="002C0635" w:rsidP="0034352C">
      <w:pPr>
        <w:pStyle w:val="text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 xml:space="preserve">В кабинете должны быть картотеки справочной литературы, методической литературы для учителя, для обучающихся, картотека средств обучения, систематизированных по классам, по темам, картотека подготовки учителя к </w:t>
      </w:r>
      <w:r w:rsidRPr="000E426F">
        <w:rPr>
          <w:color w:val="000000"/>
          <w:sz w:val="28"/>
          <w:szCs w:val="28"/>
        </w:rPr>
        <w:lastRenderedPageBreak/>
        <w:t>уроку, тематическая картотека, содержащая индивидуальные, групповые задания для обучающихся.</w:t>
      </w:r>
    </w:p>
    <w:p w:rsidR="002C0635" w:rsidRPr="000E426F" w:rsidRDefault="002C0635" w:rsidP="003F1D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26F">
        <w:rPr>
          <w:rFonts w:ascii="Times New Roman" w:hAnsi="Times New Roman" w:cs="Times New Roman"/>
          <w:b/>
          <w:bCs/>
          <w:sz w:val="28"/>
          <w:szCs w:val="28"/>
        </w:rPr>
        <w:t>7. Методические рекомендации преподавателям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4.Виды и характер практических занятий. Натюрморт.</w:t>
      </w:r>
    </w:p>
    <w:p w:rsidR="002C0635" w:rsidRPr="000E426F" w:rsidRDefault="002C0635" w:rsidP="003435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6F">
        <w:rPr>
          <w:rFonts w:ascii="Times New Roman" w:hAnsi="Times New Roman" w:cs="Times New Roman"/>
          <w:sz w:val="28"/>
          <w:szCs w:val="28"/>
        </w:rPr>
        <w:t>Виды натюрморта. Правила составления натюрморта. Этапы выполнения учебного натюрморта.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Этапы выполнения учебного натюрморта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Организация рабочего места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В работе над натюрмортом желательно использовать дневное освещение (боковое, оконное) и необходимо помнить, что свет при этом частично рассеянный.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 xml:space="preserve">На практических занятиях «Учебный натюрморт» обучающимся в аудитории ставится </w:t>
      </w:r>
      <w:proofErr w:type="gramStart"/>
      <w:r w:rsidRPr="000E426F">
        <w:rPr>
          <w:color w:val="000000"/>
          <w:sz w:val="28"/>
          <w:szCs w:val="28"/>
        </w:rPr>
        <w:t>постановка,  которую</w:t>
      </w:r>
      <w:proofErr w:type="gramEnd"/>
      <w:r w:rsidRPr="000E426F">
        <w:rPr>
          <w:color w:val="000000"/>
          <w:sz w:val="28"/>
          <w:szCs w:val="28"/>
        </w:rPr>
        <w:t xml:space="preserve"> рисуют 9-12 человек,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располагаясь полукругом на расстоянии примерно двух метров от натуры (не менее 2-3-х величин натюрморта по высоте).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 xml:space="preserve">Выполнение </w:t>
      </w:r>
      <w:proofErr w:type="spellStart"/>
      <w:r w:rsidRPr="000E426F">
        <w:rPr>
          <w:rStyle w:val="aa"/>
          <w:i w:val="0"/>
          <w:iCs w:val="0"/>
          <w:color w:val="000000"/>
          <w:sz w:val="28"/>
          <w:szCs w:val="28"/>
        </w:rPr>
        <w:t>форэскизов</w:t>
      </w:r>
      <w:proofErr w:type="spellEnd"/>
      <w:r w:rsidRPr="000E426F">
        <w:rPr>
          <w:rStyle w:val="aa"/>
          <w:i w:val="0"/>
          <w:iCs w:val="0"/>
          <w:color w:val="000000"/>
          <w:sz w:val="28"/>
          <w:szCs w:val="28"/>
        </w:rPr>
        <w:t xml:space="preserve"> – поиск удачной композиции натюрморта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Практическая работа над учебным натюрмортом начинается с выбора точки наблюдения и выполнения предварительных эскизов (</w:t>
      </w:r>
      <w:proofErr w:type="spellStart"/>
      <w:r w:rsidRPr="000E426F">
        <w:rPr>
          <w:color w:val="000000"/>
          <w:sz w:val="28"/>
          <w:szCs w:val="28"/>
        </w:rPr>
        <w:t>форэскизов</w:t>
      </w:r>
      <w:proofErr w:type="spellEnd"/>
      <w:r w:rsidRPr="000E426F">
        <w:rPr>
          <w:color w:val="000000"/>
          <w:sz w:val="28"/>
          <w:szCs w:val="28"/>
        </w:rPr>
        <w:t>) на небольших по размеру форматах листа различной формы – квадратном, вытянутом в высоту, положенном по горизонтали. В них заключен поиск композиции, основных цветовых и тональных отношений. Использование видоискателя (в листе бумаги вырезан прямоугольник, соответствующий формату основного листа) позволяет четче определить композицию натурной постановки. Необходимо также учесть – в композиционном решении рисунка натюрморта важное место занимает анализ формы предметов, учитывается и величина изображения группы предметов в целом по отношению к плоскости выбранного формата. Среда, окружающая изображаемые предметы (фон, предметная плоскость), также имеет большое значение в композиции натюрморта.  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lastRenderedPageBreak/>
        <w:t xml:space="preserve">Необходимость </w:t>
      </w:r>
      <w:proofErr w:type="spellStart"/>
      <w:r w:rsidRPr="000E426F">
        <w:rPr>
          <w:color w:val="000000"/>
          <w:sz w:val="28"/>
          <w:szCs w:val="28"/>
        </w:rPr>
        <w:t>форэскизов</w:t>
      </w:r>
      <w:proofErr w:type="spellEnd"/>
      <w:r w:rsidRPr="000E426F">
        <w:rPr>
          <w:color w:val="000000"/>
          <w:sz w:val="28"/>
          <w:szCs w:val="28"/>
        </w:rPr>
        <w:t xml:space="preserve"> обосновывается, во-первых, тем, что они выполняют функцию поисков композиционного решения, во-вторых, при длительном изображении натуры происходит процесс привыкания к постановке, а краткосрочный эскиз даёт возможность передать первое впечатление от увиденного, и сохранить его надолго, и, в-третьих, </w:t>
      </w:r>
      <w:proofErr w:type="spellStart"/>
      <w:r w:rsidRPr="000E426F">
        <w:rPr>
          <w:color w:val="000000"/>
          <w:sz w:val="28"/>
          <w:szCs w:val="28"/>
        </w:rPr>
        <w:t>форэскизы</w:t>
      </w:r>
      <w:proofErr w:type="spellEnd"/>
      <w:r w:rsidRPr="000E426F">
        <w:rPr>
          <w:color w:val="000000"/>
          <w:sz w:val="28"/>
          <w:szCs w:val="28"/>
        </w:rPr>
        <w:t xml:space="preserve"> позволяют не портить лист бумаги при неудачной композиции. Выбрав наиболее удачный из эскизов, можно приступить непосредственно к рисованию.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Композиционное размещение предметов на плоскости листа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Если вопросы композиции предварительно уже были решены в эскизах, то наиболее удачная найденная композиция может быть повторена и перенесена на выбранный формат листа. Если же такого поиска не было, то изображение компонуют прямо на плоскости листа, при этом определяют наибольшую ширину и высоту всей изображаемой постановки, а также приблизительную глубину, т.е. заход предметов одного за другой. Затем определяют большие пропорциональные соотношения между предметами, найдя каждому их место на плоскости стола и одновременно наметив их общую форму.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Выявление пропорциональных отношений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 xml:space="preserve">Наметить взаимное расположение отдельных предметов. При этом нужно строго следить за пропорциональными величинами предметов по отношению друг к другу, а </w:t>
      </w:r>
      <w:proofErr w:type="gramStart"/>
      <w:r w:rsidRPr="000E426F">
        <w:rPr>
          <w:color w:val="000000"/>
          <w:sz w:val="28"/>
          <w:szCs w:val="28"/>
        </w:rPr>
        <w:t>так же</w:t>
      </w:r>
      <w:proofErr w:type="gramEnd"/>
      <w:r w:rsidRPr="000E426F">
        <w:rPr>
          <w:color w:val="000000"/>
          <w:sz w:val="28"/>
          <w:szCs w:val="28"/>
        </w:rPr>
        <w:t xml:space="preserve"> за характером формы (узкая, широкая, круглая). После чего следует приступить к их построению с учетом дополнительного уточнения размеров, характера форм и взаимного расположения по отношению друг к другу.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Объемно-конструктивное построение натюрморта.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 xml:space="preserve">Для начала следует определить линию горизонта, а затем приступить к их построению. Построение формы предметов должно выполняться в линейно-конструктивном изображении, которое начинают с их основания. Это дает возможность правильно определять расстояние между предметами, чтобы они не врезались своими корпусами друг в друга и следки одних фигур не </w:t>
      </w:r>
      <w:r w:rsidRPr="000E426F">
        <w:rPr>
          <w:color w:val="000000"/>
          <w:sz w:val="28"/>
          <w:szCs w:val="28"/>
        </w:rPr>
        <w:lastRenderedPageBreak/>
        <w:t xml:space="preserve">наступали на другие. Следующим этапом необходимо наметить осевые линии и поверхности каждого предмета, как видимые, так и невидимые. У тел вращения </w:t>
      </w:r>
      <w:proofErr w:type="spellStart"/>
      <w:r w:rsidRPr="000E426F">
        <w:rPr>
          <w:color w:val="000000"/>
          <w:sz w:val="28"/>
          <w:szCs w:val="28"/>
        </w:rPr>
        <w:t>простраиваются</w:t>
      </w:r>
      <w:proofErr w:type="spellEnd"/>
      <w:r w:rsidRPr="000E426F">
        <w:rPr>
          <w:color w:val="000000"/>
          <w:sz w:val="28"/>
          <w:szCs w:val="28"/>
        </w:rPr>
        <w:t xml:space="preserve"> овалы, с учетом расположения линии горизонта, а прямоугольные предметы строим, применяя закон перспективы.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Нахождение больших тональных отношений.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Первоначально необходимо проследить направление световых лучей, падающих на поверхность предметов. Определив границы света и теней, приступать к прокладке тона. Тон следует накладывать постепенно, начиная от самых темных мест, одновременно по всему рисунку, при этом, сопоставляя силу тонов по отношению друг к другу и в целом, в том числе, учитывая силу тона фона.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rStyle w:val="aa"/>
          <w:i w:val="0"/>
          <w:iCs w:val="0"/>
          <w:color w:val="000000"/>
          <w:sz w:val="28"/>
          <w:szCs w:val="28"/>
        </w:rPr>
        <w:t>Передача формы предметов.</w:t>
      </w:r>
    </w:p>
    <w:p w:rsidR="002C0635" w:rsidRPr="000E426F" w:rsidRDefault="002C0635" w:rsidP="0034352C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426F">
        <w:rPr>
          <w:color w:val="000000"/>
          <w:sz w:val="28"/>
          <w:szCs w:val="28"/>
        </w:rPr>
        <w:t>Определив границы света и теней, необходимо переходить к полутонам на тех поверхностях предметов, где лучи света падают под скользящими углами. Накладывая полутона, нужно усиливать тон в теневых участках (собственные и падающие тени).</w:t>
      </w: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597A" w:rsidRDefault="002F597A" w:rsidP="002F597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Перечень основной и дополнительной учебной литературы </w:t>
      </w:r>
    </w:p>
    <w:p w:rsidR="002F597A" w:rsidRDefault="002F597A" w:rsidP="002F597A">
      <w:pPr>
        <w:tabs>
          <w:tab w:val="num" w:pos="-540"/>
        </w:tabs>
        <w:spacing w:after="0" w:line="240" w:lineRule="auto"/>
        <w:ind w:left="180" w:hanging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учебная литература: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Вера </w:t>
      </w:r>
      <w:proofErr w:type="spellStart"/>
      <w:r>
        <w:rPr>
          <w:rFonts w:ascii="Times New Roman" w:hAnsi="Times New Roman"/>
          <w:sz w:val="28"/>
          <w:szCs w:val="28"/>
        </w:rPr>
        <w:t>Ларионова.Магия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 / Вера </w:t>
      </w:r>
      <w:proofErr w:type="gramStart"/>
      <w:r>
        <w:rPr>
          <w:rFonts w:ascii="Times New Roman" w:hAnsi="Times New Roman"/>
          <w:sz w:val="28"/>
          <w:szCs w:val="28"/>
        </w:rPr>
        <w:t>Ларионова.-</w:t>
      </w:r>
      <w:proofErr w:type="spellStart"/>
      <w:proofErr w:type="gramEnd"/>
      <w:r>
        <w:rPr>
          <w:rFonts w:ascii="Times New Roman" w:hAnsi="Times New Roman"/>
          <w:sz w:val="28"/>
          <w:szCs w:val="28"/>
          <w:lang w:val="en-US"/>
        </w:rPr>
        <w:t>Gallina</w:t>
      </w:r>
      <w:proofErr w:type="spellEnd"/>
      <w:r w:rsidRPr="002F597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Shripsit</w:t>
      </w:r>
      <w:proofErr w:type="spellEnd"/>
      <w:r>
        <w:rPr>
          <w:rFonts w:ascii="Times New Roman" w:hAnsi="Times New Roman"/>
          <w:sz w:val="28"/>
          <w:szCs w:val="28"/>
        </w:rPr>
        <w:t>, 2015.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Галина </w:t>
      </w:r>
      <w:proofErr w:type="spellStart"/>
      <w:r>
        <w:rPr>
          <w:rFonts w:ascii="Times New Roman" w:hAnsi="Times New Roman"/>
          <w:sz w:val="28"/>
          <w:szCs w:val="28"/>
        </w:rPr>
        <w:t>Терешина</w:t>
      </w:r>
      <w:proofErr w:type="spellEnd"/>
      <w:r>
        <w:rPr>
          <w:rFonts w:ascii="Times New Roman" w:hAnsi="Times New Roman"/>
          <w:sz w:val="28"/>
          <w:szCs w:val="28"/>
        </w:rPr>
        <w:t xml:space="preserve">. Роспись по шелк /Галина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Терешина</w:t>
      </w:r>
      <w:proofErr w:type="spellEnd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АСТ-Пресс Книга, 2013.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Евгения Немешаева. Художества без кисточки / Евгения </w:t>
      </w:r>
      <w:proofErr w:type="gramStart"/>
      <w:r>
        <w:rPr>
          <w:rFonts w:ascii="Times New Roman" w:hAnsi="Times New Roman"/>
          <w:sz w:val="28"/>
          <w:szCs w:val="28"/>
        </w:rPr>
        <w:t>Немешаева.-</w:t>
      </w:r>
      <w:proofErr w:type="gramEnd"/>
      <w:r>
        <w:rPr>
          <w:rFonts w:ascii="Times New Roman" w:hAnsi="Times New Roman"/>
          <w:sz w:val="28"/>
          <w:szCs w:val="28"/>
        </w:rPr>
        <w:t>Феникс, 2014.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Ольга Соколова. Волшебный мир батика /Ольга </w:t>
      </w:r>
      <w:proofErr w:type="gramStart"/>
      <w:r>
        <w:rPr>
          <w:rFonts w:ascii="Times New Roman" w:hAnsi="Times New Roman"/>
          <w:sz w:val="28"/>
          <w:szCs w:val="28"/>
        </w:rPr>
        <w:t>Соколова.-</w:t>
      </w:r>
      <w:proofErr w:type="gramEnd"/>
      <w:r>
        <w:rPr>
          <w:rFonts w:ascii="Times New Roman" w:hAnsi="Times New Roman"/>
          <w:sz w:val="28"/>
          <w:szCs w:val="28"/>
        </w:rPr>
        <w:t>Феникс , Суфлёр, 2013.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Погадаев</w:t>
      </w:r>
      <w:proofErr w:type="spellEnd"/>
      <w:r>
        <w:rPr>
          <w:rFonts w:ascii="Times New Roman" w:hAnsi="Times New Roman"/>
          <w:sz w:val="28"/>
          <w:szCs w:val="28"/>
        </w:rPr>
        <w:t xml:space="preserve">, Виктор. «Магия батика» — «Восточная коллекция»,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6 Москва: Российская государственная библиотека, 2014.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Стоку Сузи. Батик. Практическое </w:t>
      </w:r>
      <w:proofErr w:type="gramStart"/>
      <w:r>
        <w:rPr>
          <w:rFonts w:ascii="Times New Roman" w:hAnsi="Times New Roman"/>
          <w:sz w:val="28"/>
          <w:szCs w:val="28"/>
        </w:rPr>
        <w:t>руководство./</w:t>
      </w:r>
      <w:proofErr w:type="gramEnd"/>
      <w:r>
        <w:rPr>
          <w:rFonts w:ascii="Times New Roman" w:hAnsi="Times New Roman"/>
          <w:sz w:val="28"/>
          <w:szCs w:val="28"/>
        </w:rPr>
        <w:t xml:space="preserve"> Пер. с англ. – М.: Издательский дом «</w:t>
      </w:r>
      <w:proofErr w:type="spellStart"/>
      <w:r>
        <w:rPr>
          <w:rFonts w:ascii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hAnsi="Times New Roman"/>
          <w:sz w:val="28"/>
          <w:szCs w:val="28"/>
        </w:rPr>
        <w:t xml:space="preserve"> 21-й век», 2013 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Рейес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Пухол-Ксикай</w:t>
      </w:r>
      <w:proofErr w:type="spellEnd"/>
      <w:r>
        <w:rPr>
          <w:rFonts w:ascii="Times New Roman" w:hAnsi="Times New Roman"/>
          <w:sz w:val="28"/>
          <w:szCs w:val="28"/>
        </w:rPr>
        <w:t xml:space="preserve">, Хуана Хулия </w:t>
      </w:r>
      <w:proofErr w:type="spellStart"/>
      <w:r>
        <w:rPr>
          <w:rFonts w:ascii="Times New Roman" w:hAnsi="Times New Roman"/>
          <w:sz w:val="28"/>
          <w:szCs w:val="28"/>
        </w:rPr>
        <w:t>Касалс</w:t>
      </w:r>
      <w:proofErr w:type="spellEnd"/>
      <w:r>
        <w:rPr>
          <w:rFonts w:ascii="Times New Roman" w:hAnsi="Times New Roman"/>
          <w:sz w:val="28"/>
          <w:szCs w:val="28"/>
        </w:rPr>
        <w:t xml:space="preserve"> Трафаретная роспись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 Пресс, 2013.</w:t>
      </w:r>
    </w:p>
    <w:p w:rsidR="002F597A" w:rsidRDefault="002F597A" w:rsidP="002F597A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Эйрл</w:t>
      </w:r>
      <w:proofErr w:type="spellEnd"/>
      <w:r>
        <w:rPr>
          <w:rFonts w:ascii="Times New Roman" w:hAnsi="Times New Roman"/>
          <w:sz w:val="28"/>
          <w:szCs w:val="28"/>
        </w:rPr>
        <w:t xml:space="preserve"> Кэролайн. Роспись по шелку: основы мастерства /</w:t>
      </w:r>
      <w:proofErr w:type="spellStart"/>
      <w:r>
        <w:rPr>
          <w:rFonts w:ascii="Times New Roman" w:hAnsi="Times New Roman"/>
          <w:sz w:val="28"/>
          <w:szCs w:val="28"/>
        </w:rPr>
        <w:t>Эйрл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Кэролайн.-</w:t>
      </w:r>
      <w:proofErr w:type="gramEnd"/>
      <w:r>
        <w:rPr>
          <w:rFonts w:ascii="Times New Roman" w:hAnsi="Times New Roman"/>
          <w:sz w:val="28"/>
          <w:szCs w:val="28"/>
        </w:rPr>
        <w:t>Арт Родник, 2013.</w:t>
      </w:r>
    </w:p>
    <w:p w:rsidR="002F597A" w:rsidRDefault="002F597A" w:rsidP="002F597A">
      <w:pPr>
        <w:tabs>
          <w:tab w:val="num" w:pos="-5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Дополнительная учебная литература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Аверьянов, Владимир Васильевич </w:t>
      </w:r>
      <w:proofErr w:type="spellStart"/>
      <w:r>
        <w:rPr>
          <w:rFonts w:ascii="Times New Roman" w:hAnsi="Times New Roman"/>
          <w:sz w:val="28"/>
          <w:szCs w:val="28"/>
        </w:rPr>
        <w:t>Шелкография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 по трафаретной печати. – М.: </w:t>
      </w:r>
      <w:proofErr w:type="spellStart"/>
      <w:r>
        <w:rPr>
          <w:rFonts w:ascii="Times New Roman" w:hAnsi="Times New Roman"/>
          <w:sz w:val="28"/>
          <w:szCs w:val="28"/>
        </w:rPr>
        <w:t>Издат</w:t>
      </w:r>
      <w:proofErr w:type="spellEnd"/>
      <w:r>
        <w:rPr>
          <w:rFonts w:ascii="Times New Roman" w:hAnsi="Times New Roman"/>
          <w:sz w:val="28"/>
          <w:szCs w:val="28"/>
        </w:rPr>
        <w:t xml:space="preserve">. дом «Гамма», </w:t>
      </w:r>
      <w:proofErr w:type="gramStart"/>
      <w:r>
        <w:rPr>
          <w:rFonts w:ascii="Times New Roman" w:hAnsi="Times New Roman"/>
          <w:sz w:val="28"/>
          <w:szCs w:val="28"/>
        </w:rPr>
        <w:t>2009,[</w:t>
      </w:r>
      <w:proofErr w:type="gramEnd"/>
      <w:r>
        <w:rPr>
          <w:rFonts w:ascii="Times New Roman" w:hAnsi="Times New Roman"/>
          <w:sz w:val="28"/>
          <w:szCs w:val="28"/>
        </w:rPr>
        <w:t>2]с.: ил.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Афонькин</w:t>
      </w:r>
      <w:proofErr w:type="spellEnd"/>
      <w:r>
        <w:rPr>
          <w:rFonts w:ascii="Times New Roman" w:hAnsi="Times New Roman"/>
          <w:sz w:val="28"/>
          <w:szCs w:val="28"/>
        </w:rPr>
        <w:t xml:space="preserve">, С.Ю., </w:t>
      </w:r>
      <w:proofErr w:type="spellStart"/>
      <w:r>
        <w:rPr>
          <w:rFonts w:ascii="Times New Roman" w:hAnsi="Times New Roman"/>
          <w:sz w:val="28"/>
          <w:szCs w:val="28"/>
        </w:rPr>
        <w:t>Афонькина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А.С. Орнаменты народов мира: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>. пособие. – СПб.: Кристалл, 2005. – 271с.: ил. – (От простого к сложному).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Буткевич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, Л.М. История орнамента: Учеб. пособие для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 xml:space="preserve">. вузов ∕ </w:t>
      </w:r>
      <w:proofErr w:type="spellStart"/>
      <w:r>
        <w:rPr>
          <w:rFonts w:ascii="Times New Roman" w:hAnsi="Times New Roman"/>
          <w:sz w:val="28"/>
          <w:szCs w:val="28"/>
        </w:rPr>
        <w:t>Федер</w:t>
      </w:r>
      <w:proofErr w:type="spellEnd"/>
      <w:r>
        <w:rPr>
          <w:rFonts w:ascii="Times New Roman" w:hAnsi="Times New Roman"/>
          <w:sz w:val="28"/>
          <w:szCs w:val="28"/>
        </w:rPr>
        <w:t xml:space="preserve">. целевая </w:t>
      </w:r>
      <w:proofErr w:type="spellStart"/>
      <w:r>
        <w:rPr>
          <w:rFonts w:ascii="Times New Roman" w:hAnsi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szCs w:val="28"/>
        </w:rPr>
        <w:t>. «Культура России» (</w:t>
      </w:r>
      <w:proofErr w:type="spellStart"/>
      <w:r>
        <w:rPr>
          <w:rFonts w:ascii="Times New Roman" w:hAnsi="Times New Roman"/>
          <w:sz w:val="28"/>
          <w:szCs w:val="28"/>
        </w:rPr>
        <w:t>Подпрогр</w:t>
      </w:r>
      <w:proofErr w:type="spellEnd"/>
      <w:r>
        <w:rPr>
          <w:rFonts w:ascii="Times New Roman" w:hAnsi="Times New Roman"/>
          <w:sz w:val="28"/>
          <w:szCs w:val="28"/>
        </w:rPr>
        <w:t xml:space="preserve">. «Поддержка полиграфии и </w:t>
      </w:r>
      <w:proofErr w:type="spellStart"/>
      <w:r>
        <w:rPr>
          <w:rFonts w:ascii="Times New Roman" w:hAnsi="Times New Roman"/>
          <w:sz w:val="28"/>
          <w:szCs w:val="28"/>
        </w:rPr>
        <w:t>книгоизд</w:t>
      </w:r>
      <w:proofErr w:type="spellEnd"/>
      <w:r>
        <w:rPr>
          <w:rFonts w:ascii="Times New Roman" w:hAnsi="Times New Roman"/>
          <w:sz w:val="28"/>
          <w:szCs w:val="28"/>
        </w:rPr>
        <w:t xml:space="preserve">. России»). –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 – 264, [</w:t>
      </w:r>
      <w:proofErr w:type="gramStart"/>
      <w:r>
        <w:rPr>
          <w:rFonts w:ascii="Times New Roman" w:hAnsi="Times New Roman"/>
          <w:sz w:val="28"/>
          <w:szCs w:val="28"/>
        </w:rPr>
        <w:t>3]с.</w:t>
      </w:r>
      <w:proofErr w:type="gramEnd"/>
      <w:r>
        <w:rPr>
          <w:rFonts w:ascii="Times New Roman" w:hAnsi="Times New Roman"/>
          <w:sz w:val="28"/>
          <w:szCs w:val="28"/>
        </w:rPr>
        <w:t>,[4]</w:t>
      </w:r>
      <w:proofErr w:type="spellStart"/>
      <w:r>
        <w:rPr>
          <w:rFonts w:ascii="Times New Roman" w:hAnsi="Times New Roman"/>
          <w:sz w:val="28"/>
          <w:szCs w:val="28"/>
        </w:rPr>
        <w:t>л.ил</w:t>
      </w:r>
      <w:proofErr w:type="spellEnd"/>
      <w:r>
        <w:rPr>
          <w:rFonts w:ascii="Times New Roman" w:hAnsi="Times New Roman"/>
          <w:sz w:val="28"/>
          <w:szCs w:val="28"/>
        </w:rPr>
        <w:t>.: ил. – (Изобразительное искусство).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Батталини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Теодорикс</w:t>
      </w:r>
      <w:proofErr w:type="spellEnd"/>
      <w:r>
        <w:rPr>
          <w:rFonts w:ascii="Times New Roman" w:hAnsi="Times New Roman"/>
          <w:sz w:val="28"/>
          <w:szCs w:val="28"/>
        </w:rPr>
        <w:t xml:space="preserve"> Акриловые краски: Основные характеристики и применение: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пособие. – </w:t>
      </w:r>
      <w:proofErr w:type="gramStart"/>
      <w:r>
        <w:rPr>
          <w:rFonts w:ascii="Times New Roman" w:hAnsi="Times New Roman"/>
          <w:sz w:val="28"/>
          <w:szCs w:val="28"/>
        </w:rPr>
        <w:t>М.: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2006. – 78, [</w:t>
      </w:r>
      <w:proofErr w:type="gramStart"/>
      <w:r>
        <w:rPr>
          <w:rFonts w:ascii="Times New Roman" w:hAnsi="Times New Roman"/>
          <w:sz w:val="28"/>
          <w:szCs w:val="28"/>
        </w:rPr>
        <w:t>1]с.</w:t>
      </w:r>
      <w:proofErr w:type="gramEnd"/>
      <w:r>
        <w:rPr>
          <w:rFonts w:ascii="Times New Roman" w:hAnsi="Times New Roman"/>
          <w:sz w:val="28"/>
          <w:szCs w:val="28"/>
        </w:rPr>
        <w:t>: ил. – (Классическая библиотека художника).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Гутина</w:t>
      </w:r>
      <w:proofErr w:type="spellEnd"/>
      <w:r>
        <w:rPr>
          <w:rFonts w:ascii="Times New Roman" w:hAnsi="Times New Roman"/>
          <w:sz w:val="28"/>
          <w:szCs w:val="28"/>
        </w:rPr>
        <w:t>, Агнесса Абрамовна Мастера волшебного узора. – М.,2008, 143с.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Орнамент стиля ар </w:t>
      </w:r>
      <w:proofErr w:type="spellStart"/>
      <w:r>
        <w:rPr>
          <w:rFonts w:ascii="Times New Roman" w:hAnsi="Times New Roman"/>
          <w:sz w:val="28"/>
          <w:szCs w:val="28"/>
        </w:rPr>
        <w:t>деко</w:t>
      </w:r>
      <w:proofErr w:type="spellEnd"/>
      <w:r>
        <w:rPr>
          <w:rFonts w:ascii="Times New Roman" w:hAnsi="Times New Roman"/>
          <w:sz w:val="28"/>
          <w:szCs w:val="28"/>
        </w:rPr>
        <w:t xml:space="preserve"> / Сост. и авт. предисл. </w:t>
      </w:r>
      <w:proofErr w:type="spellStart"/>
      <w:r>
        <w:rPr>
          <w:rFonts w:ascii="Times New Roman" w:hAnsi="Times New Roman"/>
          <w:sz w:val="28"/>
          <w:szCs w:val="28"/>
        </w:rPr>
        <w:t>В.И.Ивановская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–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М.:Издательство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В. Шевчук, 2008. – 207с.: ил. – (Орнаменты).</w:t>
      </w:r>
    </w:p>
    <w:p w:rsidR="002F597A" w:rsidRDefault="002F597A" w:rsidP="002F597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Основы художественного ремесла: в 2 ч. Ч.1. Вышивка. Кружево. </w:t>
      </w:r>
      <w:proofErr w:type="spellStart"/>
      <w:r>
        <w:rPr>
          <w:rFonts w:ascii="Times New Roman" w:hAnsi="Times New Roman"/>
          <w:sz w:val="28"/>
          <w:szCs w:val="28"/>
        </w:rPr>
        <w:t>Худож</w:t>
      </w:r>
      <w:proofErr w:type="spellEnd"/>
      <w:r>
        <w:rPr>
          <w:rFonts w:ascii="Times New Roman" w:hAnsi="Times New Roman"/>
          <w:sz w:val="28"/>
          <w:szCs w:val="28"/>
        </w:rPr>
        <w:t xml:space="preserve">. роспись </w:t>
      </w:r>
      <w:proofErr w:type="gramStart"/>
      <w:r>
        <w:rPr>
          <w:rFonts w:ascii="Times New Roman" w:hAnsi="Times New Roman"/>
          <w:sz w:val="28"/>
          <w:szCs w:val="28"/>
        </w:rPr>
        <w:t>тканей….</w:t>
      </w:r>
      <w:proofErr w:type="gramEnd"/>
      <w:r>
        <w:rPr>
          <w:rFonts w:ascii="Times New Roman" w:hAnsi="Times New Roman"/>
          <w:sz w:val="28"/>
          <w:szCs w:val="28"/>
        </w:rPr>
        <w:t xml:space="preserve">Пособие для учителя ∕.Авт. коллектив: </w:t>
      </w:r>
      <w:proofErr w:type="spellStart"/>
      <w:r>
        <w:rPr>
          <w:rFonts w:ascii="Times New Roman" w:hAnsi="Times New Roman"/>
          <w:sz w:val="28"/>
          <w:szCs w:val="28"/>
        </w:rPr>
        <w:t>В.А.Барадулин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Н.Т.Климова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Л.А.Кожевникова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Под </w:t>
      </w:r>
      <w:proofErr w:type="spellStart"/>
      <w:r>
        <w:rPr>
          <w:rFonts w:ascii="Times New Roman" w:hAnsi="Times New Roman"/>
          <w:sz w:val="28"/>
          <w:szCs w:val="28"/>
        </w:rPr>
        <w:t>ред.В.А.Барадулина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О.В.Танкус</w:t>
      </w:r>
      <w:proofErr w:type="spellEnd"/>
      <w:r>
        <w:rPr>
          <w:rFonts w:ascii="Times New Roman" w:hAnsi="Times New Roman"/>
          <w:sz w:val="28"/>
          <w:szCs w:val="28"/>
        </w:rPr>
        <w:t xml:space="preserve">. – 2 – е изд., </w:t>
      </w:r>
      <w:proofErr w:type="spellStart"/>
      <w:r>
        <w:rPr>
          <w:rFonts w:ascii="Times New Roman" w:hAnsi="Times New Roman"/>
          <w:sz w:val="28"/>
          <w:szCs w:val="28"/>
        </w:rPr>
        <w:t>дораб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2007. – 238с.</w:t>
      </w:r>
    </w:p>
    <w:p w:rsidR="002F597A" w:rsidRPr="0034352C" w:rsidRDefault="002F597A" w:rsidP="0034352C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sectPr w:rsidR="002F597A" w:rsidRPr="0034352C" w:rsidSect="00F972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91952"/>
    <w:multiLevelType w:val="multilevel"/>
    <w:tmpl w:val="29CE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CA3002E"/>
    <w:multiLevelType w:val="multilevel"/>
    <w:tmpl w:val="2662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20546880"/>
    <w:multiLevelType w:val="multilevel"/>
    <w:tmpl w:val="F71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585A7D"/>
    <w:multiLevelType w:val="multilevel"/>
    <w:tmpl w:val="7DFE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43F97484"/>
    <w:multiLevelType w:val="hybridMultilevel"/>
    <w:tmpl w:val="E65CFC94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C55A77"/>
    <w:multiLevelType w:val="multilevel"/>
    <w:tmpl w:val="9E4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101E69"/>
    <w:multiLevelType w:val="hybridMultilevel"/>
    <w:tmpl w:val="2012B376"/>
    <w:lvl w:ilvl="0" w:tplc="F7C4E61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73B715B1"/>
    <w:multiLevelType w:val="hybridMultilevel"/>
    <w:tmpl w:val="D67CEE28"/>
    <w:lvl w:ilvl="0" w:tplc="D0144D38">
      <w:start w:val="1"/>
      <w:numFmt w:val="bullet"/>
      <w:lvlText w:val=""/>
      <w:lvlJc w:val="left"/>
      <w:pPr>
        <w:tabs>
          <w:tab w:val="num" w:pos="1874"/>
        </w:tabs>
        <w:ind w:left="1874" w:hanging="794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8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76DB"/>
    <w:rsid w:val="000024D1"/>
    <w:rsid w:val="000A2215"/>
    <w:rsid w:val="000B475E"/>
    <w:rsid w:val="000D6646"/>
    <w:rsid w:val="000E426F"/>
    <w:rsid w:val="00160E32"/>
    <w:rsid w:val="0019615E"/>
    <w:rsid w:val="001A01BC"/>
    <w:rsid w:val="00262C41"/>
    <w:rsid w:val="002C0635"/>
    <w:rsid w:val="002C67AA"/>
    <w:rsid w:val="002F597A"/>
    <w:rsid w:val="003018EF"/>
    <w:rsid w:val="003359FF"/>
    <w:rsid w:val="0034352C"/>
    <w:rsid w:val="003456CA"/>
    <w:rsid w:val="00375D60"/>
    <w:rsid w:val="003F1DA2"/>
    <w:rsid w:val="00431D48"/>
    <w:rsid w:val="004518B5"/>
    <w:rsid w:val="00476430"/>
    <w:rsid w:val="005032FB"/>
    <w:rsid w:val="006352BA"/>
    <w:rsid w:val="007C2A6C"/>
    <w:rsid w:val="00834DF7"/>
    <w:rsid w:val="00865E5C"/>
    <w:rsid w:val="008676DB"/>
    <w:rsid w:val="008B7624"/>
    <w:rsid w:val="008C56C1"/>
    <w:rsid w:val="009D31E7"/>
    <w:rsid w:val="00B10760"/>
    <w:rsid w:val="00BA2D41"/>
    <w:rsid w:val="00BA525A"/>
    <w:rsid w:val="00BB41A0"/>
    <w:rsid w:val="00C01E16"/>
    <w:rsid w:val="00C55A2A"/>
    <w:rsid w:val="00C759C0"/>
    <w:rsid w:val="00C91DE7"/>
    <w:rsid w:val="00CD3756"/>
    <w:rsid w:val="00D01F96"/>
    <w:rsid w:val="00D07698"/>
    <w:rsid w:val="00DD0990"/>
    <w:rsid w:val="00DE03E2"/>
    <w:rsid w:val="00DF15BF"/>
    <w:rsid w:val="00E42815"/>
    <w:rsid w:val="00ED4B6F"/>
    <w:rsid w:val="00F51878"/>
    <w:rsid w:val="00F9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8F5E3E"/>
  <w15:docId w15:val="{C35BB35D-535F-40DD-AFC6-7CCA8884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6DB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2C67AA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C67A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List 2"/>
    <w:basedOn w:val="a"/>
    <w:uiPriority w:val="99"/>
    <w:semiHidden/>
    <w:rsid w:val="008676DB"/>
    <w:pPr>
      <w:spacing w:after="0" w:line="240" w:lineRule="auto"/>
      <w:ind w:left="566" w:hanging="283"/>
    </w:pPr>
    <w:rPr>
      <w:rFonts w:ascii="Lucida Grande CY" w:hAnsi="Lucida Grande CY" w:cs="Lucida Grande CY"/>
      <w:sz w:val="24"/>
      <w:szCs w:val="24"/>
      <w:lang w:eastAsia="en-US"/>
    </w:rPr>
  </w:style>
  <w:style w:type="paragraph" w:styleId="a3">
    <w:name w:val="Body Text"/>
    <w:basedOn w:val="a"/>
    <w:link w:val="11"/>
    <w:uiPriority w:val="99"/>
    <w:semiHidden/>
    <w:rsid w:val="008676DB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link w:val="a3"/>
    <w:uiPriority w:val="99"/>
    <w:semiHidden/>
    <w:rsid w:val="008676D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uiPriority w:val="99"/>
    <w:semiHidden/>
    <w:rsid w:val="008676DB"/>
    <w:rPr>
      <w:rFonts w:ascii="Calibri" w:hAnsi="Calibri" w:cs="Calibri"/>
      <w:lang w:eastAsia="ru-RU"/>
    </w:rPr>
  </w:style>
  <w:style w:type="paragraph" w:customStyle="1" w:styleId="12">
    <w:name w:val="Абзац списка1"/>
    <w:basedOn w:val="a"/>
    <w:uiPriority w:val="99"/>
    <w:rsid w:val="008676DB"/>
    <w:pPr>
      <w:spacing w:after="0" w:line="240" w:lineRule="auto"/>
      <w:ind w:left="720"/>
    </w:pPr>
    <w:rPr>
      <w:rFonts w:ascii="Lucida Grande CY" w:hAnsi="Lucida Grande CY" w:cs="Lucida Grande CY"/>
      <w:sz w:val="24"/>
      <w:szCs w:val="24"/>
      <w:lang w:eastAsia="en-US"/>
    </w:rPr>
  </w:style>
  <w:style w:type="character" w:customStyle="1" w:styleId="xp">
    <w:name w:val="xp"/>
    <w:basedOn w:val="a0"/>
    <w:uiPriority w:val="99"/>
    <w:rsid w:val="008B7624"/>
  </w:style>
  <w:style w:type="paragraph" w:styleId="a5">
    <w:name w:val="Normal (Web)"/>
    <w:basedOn w:val="a"/>
    <w:uiPriority w:val="99"/>
    <w:rsid w:val="008B76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xheadline">
    <w:name w:val="xheadline"/>
    <w:basedOn w:val="a0"/>
    <w:uiPriority w:val="99"/>
    <w:rsid w:val="008B7624"/>
  </w:style>
  <w:style w:type="character" w:customStyle="1" w:styleId="xpicturetext">
    <w:name w:val="xpicturetext"/>
    <w:basedOn w:val="a0"/>
    <w:uiPriority w:val="99"/>
    <w:rsid w:val="008B7624"/>
  </w:style>
  <w:style w:type="paragraph" w:styleId="a6">
    <w:name w:val="Balloon Text"/>
    <w:basedOn w:val="a"/>
    <w:link w:val="a7"/>
    <w:uiPriority w:val="99"/>
    <w:semiHidden/>
    <w:rsid w:val="008B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B7624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2C67AA"/>
    <w:pPr>
      <w:ind w:left="720"/>
    </w:pPr>
  </w:style>
  <w:style w:type="character" w:customStyle="1" w:styleId="apple-converted-space">
    <w:name w:val="apple-converted-space"/>
    <w:basedOn w:val="a0"/>
    <w:uiPriority w:val="99"/>
    <w:rsid w:val="00865E5C"/>
  </w:style>
  <w:style w:type="character" w:styleId="a9">
    <w:name w:val="Strong"/>
    <w:uiPriority w:val="99"/>
    <w:qFormat/>
    <w:rsid w:val="006352BA"/>
    <w:rPr>
      <w:b/>
      <w:bCs/>
    </w:rPr>
  </w:style>
  <w:style w:type="paragraph" w:customStyle="1" w:styleId="text1">
    <w:name w:val="text1"/>
    <w:basedOn w:val="a"/>
    <w:uiPriority w:val="99"/>
    <w:rsid w:val="003435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Emphasis"/>
    <w:uiPriority w:val="99"/>
    <w:qFormat/>
    <w:rsid w:val="003435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0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3378</Words>
  <Characters>19258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NOKI</Company>
  <LinksUpToDate>false</LinksUpToDate>
  <CharactersWithSpaces>22591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м1</dc:creator>
  <cp:keywords/>
  <dc:description/>
  <cp:lastModifiedBy>RePack by Diakov</cp:lastModifiedBy>
  <cp:revision>7</cp:revision>
  <dcterms:created xsi:type="dcterms:W3CDTF">2018-04-08T14:44:00Z</dcterms:created>
  <dcterms:modified xsi:type="dcterms:W3CDTF">2018-04-24T17:00:00Z</dcterms:modified>
</cp:coreProperties>
</file>